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1F9D" w14:textId="0CB46B20" w:rsidR="003263BF" w:rsidRPr="009B168B" w:rsidRDefault="009B168B" w:rsidP="009B168B">
      <w:pPr>
        <w:jc w:val="center"/>
        <w:rPr>
          <w:b/>
          <w:bCs/>
        </w:rPr>
      </w:pPr>
      <w:r w:rsidRPr="009B168B">
        <w:rPr>
          <w:b/>
          <w:bCs/>
        </w:rPr>
        <w:t>Nelson Town Deal Board</w:t>
      </w:r>
    </w:p>
    <w:p w14:paraId="096BAE73" w14:textId="561C2067" w:rsidR="009B168B" w:rsidRPr="009B168B" w:rsidRDefault="009B168B" w:rsidP="009B168B">
      <w:pPr>
        <w:jc w:val="center"/>
        <w:rPr>
          <w:b/>
          <w:bCs/>
        </w:rPr>
      </w:pPr>
      <w:r w:rsidRPr="009B168B">
        <w:rPr>
          <w:b/>
          <w:bCs/>
        </w:rPr>
        <w:t>14 November 2025</w:t>
      </w:r>
    </w:p>
    <w:p w14:paraId="398C5793" w14:textId="6004A827" w:rsidR="009B168B" w:rsidRDefault="009B168B" w:rsidP="009B168B">
      <w:pPr>
        <w:jc w:val="center"/>
        <w:rPr>
          <w:b/>
          <w:bCs/>
        </w:rPr>
      </w:pPr>
      <w:r w:rsidRPr="009B168B">
        <w:rPr>
          <w:b/>
          <w:bCs/>
        </w:rPr>
        <w:t>Finance Report</w:t>
      </w:r>
    </w:p>
    <w:p w14:paraId="57963393" w14:textId="33083B36" w:rsidR="009B168B" w:rsidRPr="009B168B" w:rsidRDefault="009B168B" w:rsidP="009B168B">
      <w:pPr>
        <w:pStyle w:val="ListParagraph"/>
        <w:numPr>
          <w:ilvl w:val="0"/>
          <w:numId w:val="1"/>
        </w:numPr>
        <w:rPr>
          <w:b/>
          <w:bCs/>
        </w:rPr>
      </w:pPr>
      <w:r w:rsidRPr="009B168B">
        <w:rPr>
          <w:b/>
          <w:bCs/>
        </w:rPr>
        <w:t>Town Deal Budgets Summary</w:t>
      </w:r>
    </w:p>
    <w:p w14:paraId="580AD7DE" w14:textId="74F8D73E" w:rsidR="009B168B" w:rsidRPr="009B168B" w:rsidRDefault="009B168B" w:rsidP="009B168B">
      <w:proofErr w:type="gramStart"/>
      <w:r w:rsidRPr="009B168B">
        <w:t>At</w:t>
      </w:r>
      <w:proofErr w:type="gramEnd"/>
      <w:r w:rsidRPr="009B168B">
        <w:t xml:space="preserve"> Friday 31 October the status of Town Deal Budgets </w:t>
      </w:r>
      <w:proofErr w:type="gramStart"/>
      <w:r w:rsidRPr="009B168B">
        <w:t>were</w:t>
      </w:r>
      <w:proofErr w:type="gramEnd"/>
      <w:r w:rsidRPr="009B168B">
        <w:t xml:space="preserve"> as follows:</w:t>
      </w:r>
    </w:p>
    <w:p w14:paraId="726A5A27" w14:textId="2F78AE6F" w:rsidR="009B168B" w:rsidRDefault="00493BA9">
      <w:r w:rsidRPr="00493BA9">
        <w:rPr>
          <w:noProof/>
        </w:rPr>
        <w:drawing>
          <wp:inline distT="0" distB="0" distL="0" distR="0" wp14:anchorId="024630FA" wp14:editId="61F84CA8">
            <wp:extent cx="8863330" cy="2981960"/>
            <wp:effectExtent l="0" t="0" r="0" b="8890"/>
            <wp:docPr id="1532943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2981960"/>
                    </a:xfrm>
                    <a:prstGeom prst="rect">
                      <a:avLst/>
                    </a:prstGeom>
                    <a:noFill/>
                    <a:ln>
                      <a:noFill/>
                    </a:ln>
                  </pic:spPr>
                </pic:pic>
              </a:graphicData>
            </a:graphic>
          </wp:inline>
        </w:drawing>
      </w:r>
    </w:p>
    <w:p w14:paraId="74117187" w14:textId="1E528D55" w:rsidR="009B168B" w:rsidRDefault="009B168B" w:rsidP="009B168B">
      <w:pPr>
        <w:jc w:val="both"/>
      </w:pPr>
      <w:r>
        <w:t xml:space="preserve">All projects are forecasting to meet spend targets. The forecast gross overspend is due to exceeding match funding targets. No overspend of MHCLG funds is forecast. Any potential underspend of MHCLG funds will depend on the outcome of Revitalised Nelson. Details of the </w:t>
      </w:r>
      <w:proofErr w:type="gramStart"/>
      <w:r>
        <w:t>current status</w:t>
      </w:r>
      <w:proofErr w:type="gramEnd"/>
      <w:r>
        <w:t xml:space="preserve"> of Revitalised Nelson budget are contained in Section 2.</w:t>
      </w:r>
    </w:p>
    <w:p w14:paraId="68041612" w14:textId="21CD8797" w:rsidR="009B168B" w:rsidRPr="009B168B" w:rsidRDefault="009B168B" w:rsidP="009B168B">
      <w:pPr>
        <w:jc w:val="both"/>
        <w:rPr>
          <w:b/>
          <w:bCs/>
        </w:rPr>
      </w:pPr>
      <w:r w:rsidRPr="009B168B">
        <w:rPr>
          <w:b/>
          <w:bCs/>
        </w:rPr>
        <w:lastRenderedPageBreak/>
        <w:t>2.0 Revitalised Nelson</w:t>
      </w:r>
    </w:p>
    <w:p w14:paraId="36BFAD84" w14:textId="5129D749" w:rsidR="009B168B" w:rsidRDefault="009B168B" w:rsidP="009B168B">
      <w:pPr>
        <w:jc w:val="both"/>
      </w:pPr>
      <w:r>
        <w:t xml:space="preserve">A refresh of Revitalised Nelson budgets has been carried out, based on a worst-case scenario and </w:t>
      </w:r>
      <w:proofErr w:type="gramStart"/>
      <w:r>
        <w:t xml:space="preserve">assuming </w:t>
      </w:r>
      <w:r w:rsidRPr="009E0D6B">
        <w:t>that</w:t>
      </w:r>
      <w:proofErr w:type="gramEnd"/>
      <w:r w:rsidRPr="009E0D6B">
        <w:t xml:space="preserve"> </w:t>
      </w:r>
      <w:r w:rsidR="00ED3311" w:rsidRPr="009E0D6B">
        <w:t xml:space="preserve">surplus </w:t>
      </w:r>
      <w:r w:rsidRPr="009E0D6B">
        <w:t xml:space="preserve">funds </w:t>
      </w:r>
      <w:r w:rsidR="009E0D6B" w:rsidRPr="009E0D6B">
        <w:t>of</w:t>
      </w:r>
      <w:r w:rsidR="009E0D6B">
        <w:t xml:space="preserve"> £</w:t>
      </w:r>
      <w:r w:rsidR="008A2599">
        <w:t>673,000</w:t>
      </w:r>
      <w:r w:rsidR="009E0D6B">
        <w:t xml:space="preserve"> </w:t>
      </w:r>
      <w:r>
        <w:t xml:space="preserve">are </w:t>
      </w:r>
      <w:proofErr w:type="spellStart"/>
      <w:r>
        <w:t>vired</w:t>
      </w:r>
      <w:proofErr w:type="spellEnd"/>
      <w:r>
        <w:t xml:space="preserve"> to Trafalgar House in line with recommendations under Agenda Item 5.</w:t>
      </w:r>
    </w:p>
    <w:p w14:paraId="3C34F593" w14:textId="00294419" w:rsidR="009B168B" w:rsidRDefault="009B168B" w:rsidP="009B168B">
      <w:pPr>
        <w:jc w:val="both"/>
        <w:rPr>
          <w:b/>
          <w:bCs/>
        </w:rPr>
      </w:pPr>
      <w:r w:rsidRPr="009B168B">
        <w:rPr>
          <w:b/>
          <w:bCs/>
        </w:rPr>
        <w:t>2.1 Pendle Rise Shopping Centre</w:t>
      </w:r>
    </w:p>
    <w:p w14:paraId="28286DBE" w14:textId="51EFC9C1" w:rsidR="008A2599" w:rsidRPr="008A2599" w:rsidRDefault="008A2599" w:rsidP="009B168B">
      <w:pPr>
        <w:jc w:val="both"/>
      </w:pPr>
      <w:r w:rsidRPr="008A2599">
        <w:t xml:space="preserve">A revision of the </w:t>
      </w:r>
      <w:r>
        <w:t>Pendle Rise Shopping Centre</w:t>
      </w:r>
      <w:r w:rsidRPr="008A2599">
        <w:t xml:space="preserve"> Budget has determined a surplus of £</w:t>
      </w:r>
      <w:r>
        <w:t>130,000</w:t>
      </w:r>
      <w:r w:rsidRPr="008A2599">
        <w:t xml:space="preserve">. There is a proposal to </w:t>
      </w:r>
      <w:proofErr w:type="spellStart"/>
      <w:r w:rsidRPr="008A2599">
        <w:t>vire</w:t>
      </w:r>
      <w:proofErr w:type="spellEnd"/>
      <w:r w:rsidRPr="008A2599">
        <w:t xml:space="preserve"> the revised budget surplus to the costs of the Trafalgar House project, see agenda item 05.</w:t>
      </w:r>
    </w:p>
    <w:p w14:paraId="32BA4C2C" w14:textId="0127B4BB" w:rsidR="009B168B" w:rsidRDefault="008A2599" w:rsidP="009B168B">
      <w:pPr>
        <w:jc w:val="both"/>
      </w:pPr>
      <w:r w:rsidRPr="008A2599">
        <w:rPr>
          <w:noProof/>
        </w:rPr>
        <w:drawing>
          <wp:inline distT="0" distB="0" distL="0" distR="0" wp14:anchorId="73FFF6F7" wp14:editId="0CBE71FD">
            <wp:extent cx="8486775" cy="2943225"/>
            <wp:effectExtent l="0" t="0" r="9525" b="9525"/>
            <wp:docPr id="1335895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6775" cy="2943225"/>
                    </a:xfrm>
                    <a:prstGeom prst="rect">
                      <a:avLst/>
                    </a:prstGeom>
                    <a:noFill/>
                    <a:ln>
                      <a:noFill/>
                    </a:ln>
                  </pic:spPr>
                </pic:pic>
              </a:graphicData>
            </a:graphic>
          </wp:inline>
        </w:drawing>
      </w:r>
    </w:p>
    <w:p w14:paraId="3434E989" w14:textId="341D955D" w:rsidR="009B168B" w:rsidRDefault="009B168B" w:rsidP="009B168B">
      <w:pPr>
        <w:jc w:val="both"/>
      </w:pPr>
      <w:r>
        <w:t xml:space="preserve">Successful demolition disturbance claims under Section 10 are considered unlikely, but a worst-case provision has been allowed for. The budget for CPO costs has been reduced due to the success in avoiding the need for a public inquiry. The demolition costs at £1,169,000 </w:t>
      </w:r>
      <w:r>
        <w:lastRenderedPageBreak/>
        <w:t>show a good saving against the £1,500,000 budgeted. Fees have been included and a healthy contingency retained. Public realm improvements around Pendle Rise are being taken forward under the Accessible Nelson programme.</w:t>
      </w:r>
    </w:p>
    <w:p w14:paraId="5D4FB820" w14:textId="77777777" w:rsidR="004366BD" w:rsidRDefault="004366BD" w:rsidP="009B168B">
      <w:pPr>
        <w:jc w:val="both"/>
      </w:pPr>
    </w:p>
    <w:p w14:paraId="74DFA217" w14:textId="590BCD49" w:rsidR="004366BD" w:rsidRDefault="004366BD" w:rsidP="009B168B">
      <w:pPr>
        <w:jc w:val="both"/>
        <w:rPr>
          <w:b/>
          <w:bCs/>
        </w:rPr>
      </w:pPr>
      <w:r w:rsidRPr="004366BD">
        <w:rPr>
          <w:b/>
          <w:bCs/>
        </w:rPr>
        <w:t>2.2 Relocation Properties</w:t>
      </w:r>
    </w:p>
    <w:p w14:paraId="565CD09D" w14:textId="2E7BE3A9" w:rsidR="004366BD" w:rsidRPr="004366BD" w:rsidRDefault="004366BD" w:rsidP="009B168B">
      <w:pPr>
        <w:jc w:val="both"/>
      </w:pPr>
      <w:bookmarkStart w:id="0" w:name="_Hlk213763843"/>
      <w:r>
        <w:t>A revision of the Relocation Properties Budget has determined a surplus of £543,00</w:t>
      </w:r>
      <w:r w:rsidR="006375C4">
        <w:t>0</w:t>
      </w:r>
      <w:r>
        <w:t xml:space="preserve">. </w:t>
      </w:r>
      <w:r w:rsidRPr="004366BD">
        <w:t xml:space="preserve">There is a proposal to </w:t>
      </w:r>
      <w:proofErr w:type="spellStart"/>
      <w:r>
        <w:t>vire</w:t>
      </w:r>
      <w:proofErr w:type="spellEnd"/>
      <w:r w:rsidRPr="004366BD">
        <w:t xml:space="preserve"> the revised budget surplus to the costs of the Trafalgar House project</w:t>
      </w:r>
      <w:r w:rsidR="008A2599">
        <w:t>, see agenda item 05.</w:t>
      </w:r>
    </w:p>
    <w:bookmarkEnd w:id="0"/>
    <w:p w14:paraId="0DB6F957" w14:textId="022807CB" w:rsidR="004366BD" w:rsidRDefault="004366BD" w:rsidP="009B168B">
      <w:pPr>
        <w:jc w:val="both"/>
      </w:pPr>
      <w:r w:rsidRPr="004366BD">
        <w:rPr>
          <w:noProof/>
        </w:rPr>
        <w:drawing>
          <wp:inline distT="0" distB="0" distL="0" distR="0" wp14:anchorId="36940799" wp14:editId="6A02A2AF">
            <wp:extent cx="8610600" cy="1476375"/>
            <wp:effectExtent l="0" t="0" r="0" b="9525"/>
            <wp:docPr id="91040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0" cy="1476375"/>
                    </a:xfrm>
                    <a:prstGeom prst="rect">
                      <a:avLst/>
                    </a:prstGeom>
                    <a:noFill/>
                    <a:ln>
                      <a:noFill/>
                    </a:ln>
                  </pic:spPr>
                </pic:pic>
              </a:graphicData>
            </a:graphic>
          </wp:inline>
        </w:drawing>
      </w:r>
    </w:p>
    <w:p w14:paraId="56AF5ECF" w14:textId="1D0D5395" w:rsidR="009E0D6B" w:rsidRDefault="004366BD" w:rsidP="009B168B">
      <w:pPr>
        <w:jc w:val="both"/>
      </w:pPr>
      <w:r w:rsidRPr="009B168B">
        <w:t>Contingency element included to allow for any final relocation requirements from remaining retailers yet to reach CPO compensation settlement.</w:t>
      </w:r>
      <w:r>
        <w:t xml:space="preserve"> </w:t>
      </w:r>
      <w:proofErr w:type="gramStart"/>
      <w:r w:rsidRPr="009B168B">
        <w:t>Also</w:t>
      </w:r>
      <w:proofErr w:type="gramEnd"/>
      <w:r w:rsidRPr="009B168B">
        <w:t xml:space="preserve"> for any qualifying relocation costs from Telecom companies over and above £450,000 allowance in PRSC compensation budget.</w:t>
      </w:r>
    </w:p>
    <w:p w14:paraId="2E58A9F7" w14:textId="77777777" w:rsidR="008A2599" w:rsidRDefault="008A2599" w:rsidP="009B168B">
      <w:pPr>
        <w:jc w:val="both"/>
      </w:pPr>
    </w:p>
    <w:p w14:paraId="51981669" w14:textId="77777777" w:rsidR="008A2599" w:rsidRDefault="008A2599" w:rsidP="009B168B">
      <w:pPr>
        <w:jc w:val="both"/>
      </w:pPr>
    </w:p>
    <w:p w14:paraId="5B2A13B0" w14:textId="77777777" w:rsidR="008A2599" w:rsidRDefault="008A2599" w:rsidP="009B168B">
      <w:pPr>
        <w:jc w:val="both"/>
      </w:pPr>
    </w:p>
    <w:p w14:paraId="1D8B5179" w14:textId="77777777" w:rsidR="008A2599" w:rsidRDefault="008A2599" w:rsidP="009B168B">
      <w:pPr>
        <w:jc w:val="both"/>
      </w:pPr>
    </w:p>
    <w:p w14:paraId="280BB7B9" w14:textId="3FE37C9B" w:rsidR="009B168B" w:rsidRDefault="009B168B" w:rsidP="009B168B">
      <w:pPr>
        <w:jc w:val="both"/>
        <w:rPr>
          <w:b/>
          <w:bCs/>
        </w:rPr>
      </w:pPr>
      <w:r w:rsidRPr="009B168B">
        <w:rPr>
          <w:b/>
          <w:bCs/>
        </w:rPr>
        <w:lastRenderedPageBreak/>
        <w:t>2.</w:t>
      </w:r>
      <w:r w:rsidR="004366BD">
        <w:rPr>
          <w:b/>
          <w:bCs/>
        </w:rPr>
        <w:t>3</w:t>
      </w:r>
      <w:r w:rsidRPr="009B168B">
        <w:rPr>
          <w:b/>
          <w:bCs/>
        </w:rPr>
        <w:t xml:space="preserve"> Trafalgar House</w:t>
      </w:r>
    </w:p>
    <w:p w14:paraId="60983F9F" w14:textId="770AB2CB" w:rsidR="008A2599" w:rsidRPr="008A2599" w:rsidRDefault="008A2599" w:rsidP="009B168B">
      <w:pPr>
        <w:jc w:val="both"/>
      </w:pPr>
      <w:r w:rsidRPr="008A2599">
        <w:t xml:space="preserve">A revision of the </w:t>
      </w:r>
      <w:r>
        <w:t xml:space="preserve">Trafalgar House </w:t>
      </w:r>
      <w:r w:rsidRPr="008A2599">
        <w:t xml:space="preserve">Budget has determined a </w:t>
      </w:r>
      <w:r>
        <w:t>deficit</w:t>
      </w:r>
      <w:r w:rsidRPr="008A2599">
        <w:t xml:space="preserve"> of £</w:t>
      </w:r>
      <w:r>
        <w:t>673</w:t>
      </w:r>
      <w:r w:rsidRPr="008A2599">
        <w:t xml:space="preserve">,000. There is a proposal to </w:t>
      </w:r>
      <w:proofErr w:type="spellStart"/>
      <w:r w:rsidRPr="008A2599">
        <w:t>vire</w:t>
      </w:r>
      <w:proofErr w:type="spellEnd"/>
      <w:r w:rsidRPr="008A2599">
        <w:t xml:space="preserve"> the revised budget surplus</w:t>
      </w:r>
      <w:r>
        <w:t>’ from both the Pendle Rise Shopping Centre &amp; Relocation Properties budgets</w:t>
      </w:r>
      <w:r w:rsidRPr="008A2599">
        <w:t xml:space="preserve"> to the costs of the Trafalgar House project, see agenda item 05.</w:t>
      </w:r>
    </w:p>
    <w:p w14:paraId="06C34C4C" w14:textId="65F37740" w:rsidR="009B168B" w:rsidRDefault="008A2599" w:rsidP="009B168B">
      <w:pPr>
        <w:jc w:val="both"/>
        <w:rPr>
          <w:b/>
          <w:bCs/>
        </w:rPr>
      </w:pPr>
      <w:r w:rsidRPr="008A2599">
        <w:rPr>
          <w:noProof/>
        </w:rPr>
        <w:drawing>
          <wp:inline distT="0" distB="0" distL="0" distR="0" wp14:anchorId="7F70D5F2" wp14:editId="5E07A28A">
            <wp:extent cx="8715375" cy="1847850"/>
            <wp:effectExtent l="0" t="0" r="9525" b="0"/>
            <wp:docPr id="647870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5375" cy="1847850"/>
                    </a:xfrm>
                    <a:prstGeom prst="rect">
                      <a:avLst/>
                    </a:prstGeom>
                    <a:noFill/>
                    <a:ln>
                      <a:noFill/>
                    </a:ln>
                  </pic:spPr>
                </pic:pic>
              </a:graphicData>
            </a:graphic>
          </wp:inline>
        </w:drawing>
      </w:r>
    </w:p>
    <w:p w14:paraId="3AD4E7B6" w14:textId="0DBE99BB" w:rsidR="009B168B" w:rsidRDefault="009B168B" w:rsidP="009B168B">
      <w:pPr>
        <w:jc w:val="both"/>
      </w:pPr>
      <w:r w:rsidRPr="009B168B">
        <w:t>Redevelopment contingency to sit client side to supplement 3% included within QS led proposed redevelopment budget. Planning fees reflect likely level</w:t>
      </w:r>
      <w:r>
        <w:t xml:space="preserve"> </w:t>
      </w:r>
      <w:r w:rsidRPr="009B168B">
        <w:t>of professional services to be required to satisfy complex planning permission requirements.</w:t>
      </w:r>
    </w:p>
    <w:p w14:paraId="5B8D2056" w14:textId="3F88323B" w:rsidR="009B168B" w:rsidRDefault="009B168B" w:rsidP="009B168B">
      <w:pPr>
        <w:rPr>
          <w:b/>
          <w:bCs/>
        </w:rPr>
      </w:pPr>
    </w:p>
    <w:p w14:paraId="3AA9C7EF" w14:textId="77777777" w:rsidR="004366BD" w:rsidRDefault="004366BD" w:rsidP="009B168B">
      <w:pPr>
        <w:rPr>
          <w:b/>
          <w:bCs/>
        </w:rPr>
      </w:pPr>
    </w:p>
    <w:p w14:paraId="1639C192" w14:textId="77777777" w:rsidR="004366BD" w:rsidRDefault="004366BD" w:rsidP="009B168B">
      <w:pPr>
        <w:rPr>
          <w:b/>
          <w:bCs/>
        </w:rPr>
      </w:pPr>
    </w:p>
    <w:p w14:paraId="2E4A28F4" w14:textId="77777777" w:rsidR="004366BD" w:rsidRDefault="004366BD" w:rsidP="009B168B">
      <w:pPr>
        <w:rPr>
          <w:b/>
          <w:bCs/>
        </w:rPr>
      </w:pPr>
    </w:p>
    <w:p w14:paraId="4FEAADD0" w14:textId="77777777" w:rsidR="00852382" w:rsidRDefault="00852382" w:rsidP="009B168B">
      <w:pPr>
        <w:rPr>
          <w:b/>
          <w:bCs/>
        </w:rPr>
      </w:pPr>
    </w:p>
    <w:p w14:paraId="61A72D4C" w14:textId="77777777" w:rsidR="00852382" w:rsidRDefault="00852382" w:rsidP="009B168B">
      <w:pPr>
        <w:rPr>
          <w:b/>
          <w:bCs/>
        </w:rPr>
      </w:pPr>
    </w:p>
    <w:p w14:paraId="3AB16634" w14:textId="77777777" w:rsidR="00852382" w:rsidRDefault="00852382" w:rsidP="009B168B">
      <w:pPr>
        <w:rPr>
          <w:b/>
          <w:bCs/>
        </w:rPr>
      </w:pPr>
    </w:p>
    <w:p w14:paraId="219C944D" w14:textId="1ACCD98D" w:rsidR="009B168B" w:rsidRDefault="009B168B" w:rsidP="009B168B">
      <w:pPr>
        <w:jc w:val="both"/>
        <w:rPr>
          <w:b/>
          <w:bCs/>
        </w:rPr>
      </w:pPr>
      <w:r>
        <w:rPr>
          <w:b/>
          <w:bCs/>
        </w:rPr>
        <w:lastRenderedPageBreak/>
        <w:t>3.0 Match Funding</w:t>
      </w:r>
    </w:p>
    <w:p w14:paraId="463EC559" w14:textId="77777777" w:rsidR="009B168B" w:rsidRDefault="009B168B" w:rsidP="009B168B">
      <w:r w:rsidRPr="009B168B">
        <w:t>The latest position on match funding is as follows:</w:t>
      </w:r>
    </w:p>
    <w:p w14:paraId="293FF1D9" w14:textId="55DB3B72" w:rsidR="009B168B" w:rsidRDefault="00852382" w:rsidP="009B168B">
      <w:r w:rsidRPr="00852382">
        <w:rPr>
          <w:noProof/>
        </w:rPr>
        <w:drawing>
          <wp:inline distT="0" distB="0" distL="0" distR="0" wp14:anchorId="7E8E83D1" wp14:editId="701BBD41">
            <wp:extent cx="7923813" cy="4578985"/>
            <wp:effectExtent l="0" t="0" r="1270" b="0"/>
            <wp:docPr id="13111175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6961" cy="4580804"/>
                    </a:xfrm>
                    <a:prstGeom prst="rect">
                      <a:avLst/>
                    </a:prstGeom>
                    <a:noFill/>
                    <a:ln>
                      <a:noFill/>
                    </a:ln>
                  </pic:spPr>
                </pic:pic>
              </a:graphicData>
            </a:graphic>
          </wp:inline>
        </w:drawing>
      </w:r>
    </w:p>
    <w:p w14:paraId="678AB83A" w14:textId="2BCA5F81" w:rsidR="009B168B" w:rsidRPr="009B168B" w:rsidRDefault="008D18A0" w:rsidP="008D18A0">
      <w:pPr>
        <w:jc w:val="both"/>
      </w:pPr>
      <w:r>
        <w:lastRenderedPageBreak/>
        <w:t xml:space="preserve">The level of match funding achieved is currently forecast to exceed target. </w:t>
      </w:r>
      <w:proofErr w:type="spellStart"/>
      <w:r>
        <w:t>Penbrook</w:t>
      </w:r>
      <w:proofErr w:type="spellEnd"/>
      <w:r>
        <w:t xml:space="preserve"> Developments Limited are currently updating their build cost estimates for the redeveloped Pendle Rise. The Revitalised Nelson match funding estimates will therefore be further updated at the next Town Deal Board meeting.</w:t>
      </w:r>
    </w:p>
    <w:sectPr w:rsidR="009B168B" w:rsidRPr="009B168B" w:rsidSect="009B168B">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0872" w14:textId="77777777" w:rsidR="009B168B" w:rsidRDefault="009B168B" w:rsidP="009B168B">
      <w:pPr>
        <w:spacing w:after="0" w:line="240" w:lineRule="auto"/>
      </w:pPr>
      <w:r>
        <w:separator/>
      </w:r>
    </w:p>
  </w:endnote>
  <w:endnote w:type="continuationSeparator" w:id="0">
    <w:p w14:paraId="3BEE9EC8" w14:textId="77777777" w:rsidR="009B168B" w:rsidRDefault="009B168B" w:rsidP="009B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4AD" w14:textId="77777777" w:rsidR="009B168B" w:rsidRDefault="009B168B" w:rsidP="009B168B">
    <w:pPr>
      <w:pStyle w:val="Footer"/>
      <w:jc w:val="center"/>
    </w:pPr>
    <w:r>
      <w:t>Town Deal Board Finance Report</w:t>
    </w:r>
  </w:p>
  <w:p w14:paraId="71D897E3" w14:textId="4464A741" w:rsidR="009B168B" w:rsidRDefault="009B168B" w:rsidP="009B168B">
    <w:pPr>
      <w:pStyle w:val="Footer"/>
      <w:jc w:val="center"/>
    </w:pPr>
    <w:r>
      <w:t>14 November 2025</w:t>
    </w:r>
    <w:r>
      <w:br/>
    </w:r>
    <w:sdt>
      <w:sdtPr>
        <w:id w:val="-6819017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65FCD689" w14:textId="77777777" w:rsidR="009B168B" w:rsidRDefault="009B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A485" w14:textId="77777777" w:rsidR="009B168B" w:rsidRDefault="009B168B" w:rsidP="009B168B">
      <w:pPr>
        <w:spacing w:after="0" w:line="240" w:lineRule="auto"/>
      </w:pPr>
      <w:r>
        <w:separator/>
      </w:r>
    </w:p>
  </w:footnote>
  <w:footnote w:type="continuationSeparator" w:id="0">
    <w:p w14:paraId="2E49C9EE" w14:textId="77777777" w:rsidR="009B168B" w:rsidRDefault="009B168B" w:rsidP="009B1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33751"/>
    <w:multiLevelType w:val="multilevel"/>
    <w:tmpl w:val="9842AF7E"/>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0214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0E"/>
    <w:rsid w:val="000660D4"/>
    <w:rsid w:val="000D759B"/>
    <w:rsid w:val="00114E64"/>
    <w:rsid w:val="003263BF"/>
    <w:rsid w:val="004366BD"/>
    <w:rsid w:val="00493BA9"/>
    <w:rsid w:val="006375C4"/>
    <w:rsid w:val="00852382"/>
    <w:rsid w:val="008A2599"/>
    <w:rsid w:val="008D18A0"/>
    <w:rsid w:val="009168B0"/>
    <w:rsid w:val="009B168B"/>
    <w:rsid w:val="009E0D6B"/>
    <w:rsid w:val="00B24B67"/>
    <w:rsid w:val="00B37AB7"/>
    <w:rsid w:val="00EC795B"/>
    <w:rsid w:val="00ED3311"/>
    <w:rsid w:val="00F2430E"/>
    <w:rsid w:val="00FF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9B91"/>
  <w15:chartTrackingRefBased/>
  <w15:docId w15:val="{002869F8-4EFD-4546-9AA0-93988F8D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30E"/>
    <w:rPr>
      <w:rFonts w:eastAsiaTheme="majorEastAsia" w:cstheme="majorBidi"/>
      <w:color w:val="272727" w:themeColor="text1" w:themeTint="D8"/>
    </w:rPr>
  </w:style>
  <w:style w:type="paragraph" w:styleId="Title">
    <w:name w:val="Title"/>
    <w:basedOn w:val="Normal"/>
    <w:next w:val="Normal"/>
    <w:link w:val="TitleChar"/>
    <w:uiPriority w:val="10"/>
    <w:qFormat/>
    <w:rsid w:val="00F24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30E"/>
    <w:pPr>
      <w:spacing w:before="160"/>
      <w:jc w:val="center"/>
    </w:pPr>
    <w:rPr>
      <w:i/>
      <w:iCs/>
      <w:color w:val="404040" w:themeColor="text1" w:themeTint="BF"/>
    </w:rPr>
  </w:style>
  <w:style w:type="character" w:customStyle="1" w:styleId="QuoteChar">
    <w:name w:val="Quote Char"/>
    <w:basedOn w:val="DefaultParagraphFont"/>
    <w:link w:val="Quote"/>
    <w:uiPriority w:val="29"/>
    <w:rsid w:val="00F2430E"/>
    <w:rPr>
      <w:i/>
      <w:iCs/>
      <w:color w:val="404040" w:themeColor="text1" w:themeTint="BF"/>
    </w:rPr>
  </w:style>
  <w:style w:type="paragraph" w:styleId="ListParagraph">
    <w:name w:val="List Paragraph"/>
    <w:basedOn w:val="Normal"/>
    <w:uiPriority w:val="34"/>
    <w:qFormat/>
    <w:rsid w:val="00F2430E"/>
    <w:pPr>
      <w:ind w:left="720"/>
      <w:contextualSpacing/>
    </w:pPr>
  </w:style>
  <w:style w:type="character" w:styleId="IntenseEmphasis">
    <w:name w:val="Intense Emphasis"/>
    <w:basedOn w:val="DefaultParagraphFont"/>
    <w:uiPriority w:val="21"/>
    <w:qFormat/>
    <w:rsid w:val="00F2430E"/>
    <w:rPr>
      <w:i/>
      <w:iCs/>
      <w:color w:val="0F4761" w:themeColor="accent1" w:themeShade="BF"/>
    </w:rPr>
  </w:style>
  <w:style w:type="paragraph" w:styleId="IntenseQuote">
    <w:name w:val="Intense Quote"/>
    <w:basedOn w:val="Normal"/>
    <w:next w:val="Normal"/>
    <w:link w:val="IntenseQuoteChar"/>
    <w:uiPriority w:val="30"/>
    <w:qFormat/>
    <w:rsid w:val="00F24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30E"/>
    <w:rPr>
      <w:i/>
      <w:iCs/>
      <w:color w:val="0F4761" w:themeColor="accent1" w:themeShade="BF"/>
    </w:rPr>
  </w:style>
  <w:style w:type="character" w:styleId="IntenseReference">
    <w:name w:val="Intense Reference"/>
    <w:basedOn w:val="DefaultParagraphFont"/>
    <w:uiPriority w:val="32"/>
    <w:qFormat/>
    <w:rsid w:val="00F2430E"/>
    <w:rPr>
      <w:b/>
      <w:bCs/>
      <w:smallCaps/>
      <w:color w:val="0F4761" w:themeColor="accent1" w:themeShade="BF"/>
      <w:spacing w:val="5"/>
    </w:rPr>
  </w:style>
  <w:style w:type="paragraph" w:styleId="Header">
    <w:name w:val="header"/>
    <w:basedOn w:val="Normal"/>
    <w:link w:val="HeaderChar"/>
    <w:uiPriority w:val="99"/>
    <w:unhideWhenUsed/>
    <w:rsid w:val="009B1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8B"/>
  </w:style>
  <w:style w:type="paragraph" w:styleId="Footer">
    <w:name w:val="footer"/>
    <w:basedOn w:val="Normal"/>
    <w:link w:val="FooterChar"/>
    <w:uiPriority w:val="99"/>
    <w:unhideWhenUsed/>
    <w:rsid w:val="009B1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8B"/>
  </w:style>
  <w:style w:type="character" w:styleId="CommentReference">
    <w:name w:val="annotation reference"/>
    <w:basedOn w:val="DefaultParagraphFont"/>
    <w:uiPriority w:val="99"/>
    <w:semiHidden/>
    <w:unhideWhenUsed/>
    <w:rsid w:val="009168B0"/>
    <w:rPr>
      <w:sz w:val="16"/>
      <w:szCs w:val="16"/>
    </w:rPr>
  </w:style>
  <w:style w:type="paragraph" w:styleId="CommentText">
    <w:name w:val="annotation text"/>
    <w:basedOn w:val="Normal"/>
    <w:link w:val="CommentTextChar"/>
    <w:uiPriority w:val="99"/>
    <w:unhideWhenUsed/>
    <w:rsid w:val="009168B0"/>
    <w:pPr>
      <w:spacing w:line="240" w:lineRule="auto"/>
    </w:pPr>
    <w:rPr>
      <w:sz w:val="20"/>
      <w:szCs w:val="20"/>
    </w:rPr>
  </w:style>
  <w:style w:type="character" w:customStyle="1" w:styleId="CommentTextChar">
    <w:name w:val="Comment Text Char"/>
    <w:basedOn w:val="DefaultParagraphFont"/>
    <w:link w:val="CommentText"/>
    <w:uiPriority w:val="99"/>
    <w:rsid w:val="009168B0"/>
    <w:rPr>
      <w:sz w:val="20"/>
      <w:szCs w:val="20"/>
    </w:rPr>
  </w:style>
  <w:style w:type="paragraph" w:styleId="CommentSubject">
    <w:name w:val="annotation subject"/>
    <w:basedOn w:val="CommentText"/>
    <w:next w:val="CommentText"/>
    <w:link w:val="CommentSubjectChar"/>
    <w:uiPriority w:val="99"/>
    <w:semiHidden/>
    <w:unhideWhenUsed/>
    <w:rsid w:val="009168B0"/>
    <w:rPr>
      <w:b/>
      <w:bCs/>
    </w:rPr>
  </w:style>
  <w:style w:type="character" w:customStyle="1" w:styleId="CommentSubjectChar">
    <w:name w:val="Comment Subject Char"/>
    <w:basedOn w:val="CommentTextChar"/>
    <w:link w:val="CommentSubject"/>
    <w:uiPriority w:val="99"/>
    <w:semiHidden/>
    <w:rsid w:val="009168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450</Words>
  <Characters>2436</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Laina Donnelly</dc:creator>
  <cp:keywords/>
  <dc:description/>
  <cp:lastModifiedBy>Laina Donnelly</cp:lastModifiedBy>
  <cp:revision>10</cp:revision>
  <dcterms:created xsi:type="dcterms:W3CDTF">2025-11-11T12:54:00Z</dcterms:created>
  <dcterms:modified xsi:type="dcterms:W3CDTF">2025-11-11T15:12:00Z</dcterms:modified>
</cp:coreProperties>
</file>